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DD784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3981AB1C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3FBA8BCC" w14:textId="29FE574E" w:rsidR="008505E0" w:rsidRPr="008505E0" w:rsidRDefault="008505E0" w:rsidP="008505E0">
      <w:pPr>
        <w:rPr>
          <w:rFonts w:ascii="Times New Roman" w:hAnsi="Times New Roman"/>
          <w:b/>
          <w:bCs/>
          <w:iCs/>
          <w:szCs w:val="24"/>
          <w:lang w:eastAsia="bg-BG"/>
        </w:rPr>
      </w:pPr>
      <w:r>
        <w:rPr>
          <w:rFonts w:ascii="Times New Roman" w:hAnsi="Times New Roman"/>
          <w:b/>
          <w:bCs/>
          <w:iCs/>
          <w:szCs w:val="24"/>
          <w:lang w:eastAsia="bg-BG"/>
        </w:rPr>
        <w:t xml:space="preserve">                                                                              </w:t>
      </w:r>
      <w:r w:rsidRPr="008505E0">
        <w:rPr>
          <w:rFonts w:ascii="Times New Roman" w:hAnsi="Times New Roman"/>
          <w:b/>
          <w:bCs/>
          <w:iCs/>
          <w:szCs w:val="24"/>
          <w:lang w:eastAsia="bg-BG"/>
        </w:rPr>
        <w:t xml:space="preserve">ДО </w:t>
      </w:r>
    </w:p>
    <w:p w14:paraId="00E265A4" w14:textId="309EBE0A" w:rsidR="00EC4B3A" w:rsidRDefault="008505E0" w:rsidP="00EC4B3A">
      <w:pPr>
        <w:rPr>
          <w:rFonts w:ascii="Times New Roman" w:hAnsi="Times New Roman"/>
          <w:b/>
          <w:bCs/>
          <w:iCs/>
          <w:szCs w:val="24"/>
        </w:rPr>
      </w:pPr>
      <w:r>
        <w:rPr>
          <w:rFonts w:ascii="Times New Roman" w:hAnsi="Times New Roman"/>
          <w:b/>
          <w:bCs/>
          <w:iCs/>
          <w:szCs w:val="24"/>
          <w:lang w:eastAsia="bg-BG"/>
        </w:rPr>
        <w:t xml:space="preserve">                                                                              </w:t>
      </w:r>
      <w:r w:rsidR="000526F4" w:rsidRPr="000526F4">
        <w:rPr>
          <w:rFonts w:ascii="Times New Roman" w:hAnsi="Times New Roman"/>
          <w:b/>
          <w:bCs/>
          <w:iCs/>
          <w:szCs w:val="24"/>
        </w:rPr>
        <w:t>КАМКО ЕООД</w:t>
      </w:r>
    </w:p>
    <w:p w14:paraId="5C2182CA" w14:textId="4CB93752" w:rsidR="00EC4B3A" w:rsidRPr="00EC4B3A" w:rsidRDefault="00EC4B3A" w:rsidP="00EC4B3A">
      <w:pPr>
        <w:rPr>
          <w:rFonts w:ascii="Times New Roman" w:hAnsi="Times New Roman"/>
          <w:b/>
          <w:bCs/>
          <w:iCs/>
          <w:szCs w:val="24"/>
        </w:rPr>
      </w:pPr>
      <w:r>
        <w:rPr>
          <w:rFonts w:ascii="Times New Roman" w:hAnsi="Times New Roman"/>
          <w:b/>
          <w:bCs/>
          <w:iCs/>
          <w:szCs w:val="24"/>
        </w:rPr>
        <w:t xml:space="preserve">                                                                              </w:t>
      </w:r>
      <w:r w:rsidRPr="00EC4B3A">
        <w:rPr>
          <w:rFonts w:ascii="Times New Roman" w:hAnsi="Times New Roman"/>
          <w:b/>
          <w:bCs/>
          <w:iCs/>
          <w:szCs w:val="24"/>
          <w:lang w:eastAsia="bg-BG"/>
        </w:rPr>
        <w:t xml:space="preserve">гр. </w:t>
      </w:r>
      <w:r w:rsidR="000526F4">
        <w:rPr>
          <w:rFonts w:ascii="Times New Roman" w:hAnsi="Times New Roman"/>
          <w:b/>
          <w:bCs/>
          <w:iCs/>
          <w:szCs w:val="24"/>
          <w:lang w:eastAsia="bg-BG"/>
        </w:rPr>
        <w:t>Пловдив</w:t>
      </w:r>
    </w:p>
    <w:p w14:paraId="0CA36AAF" w14:textId="33D7FE5A" w:rsidR="00EC4B3A" w:rsidRPr="00EC4B3A" w:rsidRDefault="00EC4B3A" w:rsidP="00EC4B3A">
      <w:pPr>
        <w:rPr>
          <w:rFonts w:ascii="Times New Roman" w:hAnsi="Times New Roman"/>
          <w:b/>
          <w:bCs/>
          <w:iCs/>
          <w:szCs w:val="24"/>
          <w:lang w:eastAsia="bg-BG"/>
        </w:rPr>
      </w:pPr>
      <w:r>
        <w:rPr>
          <w:rFonts w:ascii="Times New Roman" w:hAnsi="Times New Roman"/>
          <w:b/>
          <w:bCs/>
          <w:iCs/>
          <w:szCs w:val="24"/>
          <w:lang w:eastAsia="bg-BG"/>
        </w:rPr>
        <w:t xml:space="preserve">                                                                              </w:t>
      </w:r>
      <w:r w:rsidR="000526F4" w:rsidRPr="000526F4">
        <w:rPr>
          <w:rFonts w:ascii="Times New Roman" w:hAnsi="Times New Roman"/>
          <w:b/>
          <w:bCs/>
          <w:iCs/>
          <w:szCs w:val="24"/>
          <w:lang w:eastAsia="bg-BG"/>
        </w:rPr>
        <w:t>бул. Цариградско шосе, номер 112</w:t>
      </w:r>
    </w:p>
    <w:p w14:paraId="1539439F" w14:textId="7440733E" w:rsidR="009F7836" w:rsidRPr="00B22C33" w:rsidRDefault="009F7836" w:rsidP="00EC4B3A">
      <w:pPr>
        <w:rPr>
          <w:rFonts w:ascii="Times New Roman" w:hAnsi="Times New Roman"/>
          <w:szCs w:val="24"/>
        </w:rPr>
      </w:pPr>
    </w:p>
    <w:p w14:paraId="50E3E548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51DFCFAD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122EF57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2E8CADDA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5F65E2F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378810AF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79F4DAB8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177BA2F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034A59AD" w14:textId="77777777" w:rsidR="000526F4" w:rsidRPr="000526F4" w:rsidRDefault="000526F4" w:rsidP="000526F4">
      <w:pPr>
        <w:rPr>
          <w:rFonts w:ascii="Times New Roman" w:hAnsi="Times New Roman"/>
          <w:b/>
          <w:i/>
          <w:iCs/>
          <w:noProof/>
          <w:szCs w:val="24"/>
        </w:rPr>
      </w:pPr>
      <w:r w:rsidRPr="000526F4">
        <w:rPr>
          <w:rFonts w:ascii="Times New Roman" w:hAnsi="Times New Roman"/>
          <w:b/>
          <w:i/>
          <w:iCs/>
          <w:noProof/>
          <w:szCs w:val="24"/>
        </w:rPr>
        <w:t>Доставка, монтаж и въвеждане в експлоатация на ДМА:</w:t>
      </w:r>
    </w:p>
    <w:p w14:paraId="565EEBF5" w14:textId="77777777" w:rsidR="000526F4" w:rsidRPr="000526F4" w:rsidRDefault="000526F4" w:rsidP="000526F4">
      <w:pPr>
        <w:rPr>
          <w:rFonts w:ascii="Times New Roman" w:hAnsi="Times New Roman"/>
          <w:b/>
          <w:i/>
          <w:iCs/>
          <w:noProof/>
          <w:szCs w:val="24"/>
        </w:rPr>
      </w:pPr>
      <w:r w:rsidRPr="000526F4">
        <w:rPr>
          <w:rFonts w:ascii="Times New Roman" w:hAnsi="Times New Roman"/>
          <w:b/>
          <w:i/>
          <w:iCs/>
          <w:noProof/>
          <w:szCs w:val="24"/>
        </w:rPr>
        <w:t>Обособена позиция № 1: Вакуум хомогенизираща и диспергираща машина - 1 бр.</w:t>
      </w:r>
    </w:p>
    <w:p w14:paraId="128EF2FF" w14:textId="77777777" w:rsidR="000526F4" w:rsidRPr="000526F4" w:rsidRDefault="000526F4" w:rsidP="000526F4">
      <w:pPr>
        <w:rPr>
          <w:rFonts w:ascii="Times New Roman" w:hAnsi="Times New Roman"/>
          <w:b/>
          <w:i/>
          <w:iCs/>
          <w:noProof/>
          <w:szCs w:val="24"/>
        </w:rPr>
      </w:pPr>
      <w:r w:rsidRPr="000526F4">
        <w:rPr>
          <w:rFonts w:ascii="Times New Roman" w:hAnsi="Times New Roman"/>
          <w:b/>
          <w:i/>
          <w:iCs/>
          <w:noProof/>
          <w:szCs w:val="24"/>
        </w:rPr>
        <w:t>Обособена позиция № 2: Автоматична система за зареждане, позициониране, фиксиране, пълнене и завиване на флакони и буркани за козметични емулсии - 1 бр.</w:t>
      </w:r>
    </w:p>
    <w:p w14:paraId="26ACDB37" w14:textId="110CD4B7" w:rsidR="009F7836" w:rsidRPr="00B22C33" w:rsidRDefault="000526F4" w:rsidP="000526F4">
      <w:pPr>
        <w:rPr>
          <w:rFonts w:ascii="Times New Roman" w:hAnsi="Times New Roman"/>
          <w:b/>
          <w:i/>
          <w:szCs w:val="24"/>
        </w:rPr>
      </w:pPr>
      <w:r w:rsidRPr="000526F4">
        <w:rPr>
          <w:rFonts w:ascii="Times New Roman" w:hAnsi="Times New Roman"/>
          <w:b/>
          <w:i/>
          <w:iCs/>
          <w:noProof/>
          <w:szCs w:val="24"/>
        </w:rPr>
        <w:t>Обособена позиция № 3: Роботизирана система за депалетизиране, поставяне в кашони и палетизиране на флакони с козметични продукти – 1 бр.</w:t>
      </w:r>
    </w:p>
    <w:p w14:paraId="5062A578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7372DA49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82D1FBA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1626EA21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6DF0B95F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470452FE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0BF0C041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2E0C3942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5FD62EF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3A17CE4B" w14:textId="721A102D" w:rsidR="008505E0" w:rsidRDefault="002A79DF" w:rsidP="00D321B2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4393F8AC" w14:textId="77777777" w:rsidR="000526F4" w:rsidRPr="000526F4" w:rsidRDefault="000526F4" w:rsidP="000526F4">
      <w:pPr>
        <w:rPr>
          <w:rFonts w:ascii="Times New Roman" w:hAnsi="Times New Roman"/>
          <w:b/>
          <w:i/>
          <w:iCs/>
          <w:noProof/>
          <w:szCs w:val="24"/>
        </w:rPr>
      </w:pPr>
      <w:r w:rsidRPr="000526F4">
        <w:rPr>
          <w:rFonts w:ascii="Times New Roman" w:hAnsi="Times New Roman"/>
          <w:b/>
          <w:i/>
          <w:iCs/>
          <w:noProof/>
          <w:szCs w:val="24"/>
        </w:rPr>
        <w:t>Доставка, монтаж и въвеждане в експлоатация на ДМА:</w:t>
      </w:r>
    </w:p>
    <w:p w14:paraId="1EB7BDCC" w14:textId="77777777" w:rsidR="000526F4" w:rsidRPr="000526F4" w:rsidRDefault="000526F4" w:rsidP="000526F4">
      <w:pPr>
        <w:rPr>
          <w:rFonts w:ascii="Times New Roman" w:hAnsi="Times New Roman"/>
          <w:b/>
          <w:i/>
          <w:iCs/>
          <w:noProof/>
          <w:szCs w:val="24"/>
        </w:rPr>
      </w:pPr>
      <w:r w:rsidRPr="000526F4">
        <w:rPr>
          <w:rFonts w:ascii="Times New Roman" w:hAnsi="Times New Roman"/>
          <w:b/>
          <w:i/>
          <w:iCs/>
          <w:noProof/>
          <w:szCs w:val="24"/>
        </w:rPr>
        <w:t>Обособена позиция № 1: Вакуум хомогенизираща и диспергираща машина - 1 бр.</w:t>
      </w:r>
    </w:p>
    <w:p w14:paraId="09F8F063" w14:textId="77777777" w:rsidR="000526F4" w:rsidRPr="000526F4" w:rsidRDefault="000526F4" w:rsidP="000526F4">
      <w:pPr>
        <w:rPr>
          <w:rFonts w:ascii="Times New Roman" w:hAnsi="Times New Roman"/>
          <w:b/>
          <w:i/>
          <w:iCs/>
          <w:noProof/>
          <w:szCs w:val="24"/>
        </w:rPr>
      </w:pPr>
      <w:r w:rsidRPr="000526F4">
        <w:rPr>
          <w:rFonts w:ascii="Times New Roman" w:hAnsi="Times New Roman"/>
          <w:b/>
          <w:i/>
          <w:iCs/>
          <w:noProof/>
          <w:szCs w:val="24"/>
        </w:rPr>
        <w:t>Обособена позиция № 2: Автоматична система за зареждане, позициониране, фиксиране, пълнене и завиване на флакони и буркани за козметични емулсии - 1 бр.</w:t>
      </w:r>
    </w:p>
    <w:p w14:paraId="627D5678" w14:textId="77777777" w:rsidR="000526F4" w:rsidRDefault="000526F4" w:rsidP="000526F4">
      <w:pPr>
        <w:rPr>
          <w:rFonts w:ascii="Times New Roman" w:hAnsi="Times New Roman"/>
          <w:b/>
          <w:i/>
          <w:iCs/>
          <w:noProof/>
          <w:szCs w:val="24"/>
        </w:rPr>
      </w:pPr>
      <w:r w:rsidRPr="000526F4">
        <w:rPr>
          <w:rFonts w:ascii="Times New Roman" w:hAnsi="Times New Roman"/>
          <w:b/>
          <w:i/>
          <w:iCs/>
          <w:noProof/>
          <w:szCs w:val="24"/>
        </w:rPr>
        <w:t xml:space="preserve">Обособена позиция № 3: Роботизирана система за депалетизиране, поставяне в кашони и палетизиране на флакони с козметични продукти – 1 бр. </w:t>
      </w:r>
    </w:p>
    <w:p w14:paraId="7ADEC819" w14:textId="0D85D65D" w:rsidR="009F7836" w:rsidRPr="00B22C33" w:rsidRDefault="009F7836" w:rsidP="000526F4">
      <w:pPr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67F6A44F" w14:textId="77777777" w:rsidR="008505E0" w:rsidRDefault="008505E0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375D13A" w14:textId="4632DC49" w:rsidR="000526F4" w:rsidRPr="000526F4" w:rsidRDefault="000526F4" w:rsidP="009F7836">
      <w:pPr>
        <w:ind w:firstLine="708"/>
        <w:jc w:val="both"/>
        <w:rPr>
          <w:rFonts w:ascii="Times New Roman" w:hAnsi="Times New Roman"/>
          <w:szCs w:val="24"/>
          <w:u w:val="single"/>
        </w:rPr>
      </w:pPr>
      <w:r w:rsidRPr="000526F4">
        <w:rPr>
          <w:rFonts w:ascii="Times New Roman" w:hAnsi="Times New Roman"/>
          <w:szCs w:val="24"/>
          <w:u w:val="single"/>
        </w:rPr>
        <w:t xml:space="preserve">Офертата се отнася до Обособена позиция № </w:t>
      </w:r>
      <w:r w:rsidR="00717EAF">
        <w:rPr>
          <w:rFonts w:ascii="Times New Roman" w:hAnsi="Times New Roman"/>
          <w:szCs w:val="24"/>
          <w:u w:val="single"/>
        </w:rPr>
        <w:t>2</w:t>
      </w:r>
      <w:r w:rsidRPr="000526F4">
        <w:rPr>
          <w:rFonts w:ascii="Times New Roman" w:hAnsi="Times New Roman"/>
          <w:szCs w:val="24"/>
          <w:u w:val="single"/>
        </w:rPr>
        <w:t xml:space="preserve">: </w:t>
      </w:r>
      <w:r w:rsidR="00717EAF" w:rsidRPr="00717EAF">
        <w:rPr>
          <w:rFonts w:ascii="Times New Roman" w:hAnsi="Times New Roman"/>
          <w:szCs w:val="24"/>
          <w:u w:val="single"/>
        </w:rPr>
        <w:t>Автоматична система за зареждане, позициониране, фиксиране, пълнене и завиване на флакони и буркани за козметични емулсии - 1 бр.</w:t>
      </w:r>
    </w:p>
    <w:p w14:paraId="523C6622" w14:textId="77777777" w:rsidR="000526F4" w:rsidRDefault="000526F4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4FAF5454" w14:textId="29E85CC9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442EE10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66B3A397" w14:textId="01C8DA0B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8505E0" w:rsidRPr="00B22C33">
        <w:rPr>
          <w:rFonts w:ascii="Times New Roman" w:hAnsi="Times New Roman"/>
          <w:szCs w:val="24"/>
        </w:rPr>
        <w:t>нормативно установения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1497D883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2059C859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7B9BB8E" w14:textId="117B267B" w:rsidR="00EC4B3A" w:rsidRPr="00FE16FE" w:rsidRDefault="009F7836" w:rsidP="00EC4B3A">
      <w:pPr>
        <w:autoSpaceDE w:val="0"/>
        <w:snapToGrid w:val="0"/>
        <w:jc w:val="both"/>
        <w:rPr>
          <w:rFonts w:ascii="Times New Roman" w:hAnsi="Times New Roman"/>
          <w:i/>
          <w:noProof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месеца,</w:t>
      </w:r>
      <w:bookmarkStart w:id="0" w:name="_Hlk153270402"/>
      <w:r w:rsidR="00EC4B3A" w:rsidRPr="00FE16FE">
        <w:rPr>
          <w:rFonts w:ascii="Times New Roman" w:hAnsi="Times New Roman"/>
          <w:i/>
          <w:noProof/>
          <w:szCs w:val="24"/>
        </w:rPr>
        <w:t xml:space="preserve"> </w:t>
      </w:r>
      <w:bookmarkStart w:id="1" w:name="_Hlk191293400"/>
      <w:r w:rsidR="000526F4" w:rsidRPr="000526F4">
        <w:rPr>
          <w:rFonts w:ascii="Times New Roman" w:hAnsi="Times New Roman"/>
          <w:i/>
          <w:noProof/>
          <w:szCs w:val="24"/>
        </w:rPr>
        <w:t>считано от датата на извършено авансово плащане по подписан договор с избрания изпълнител, но не по-късно от крайния срок за изпълнение на проект № BG16RFPR001-1.003-0216-C01 или 27.02.2026 г.</w:t>
      </w:r>
    </w:p>
    <w:bookmarkEnd w:id="0"/>
    <w:bookmarkEnd w:id="1"/>
    <w:p w14:paraId="7519789F" w14:textId="77777777" w:rsidR="000526F4" w:rsidRDefault="000526F4" w:rsidP="009F7836">
      <w:pPr>
        <w:ind w:firstLine="708"/>
        <w:jc w:val="both"/>
        <w:rPr>
          <w:rFonts w:ascii="Times New Roman" w:hAnsi="Times New Roman"/>
          <w:i/>
          <w:noProof/>
          <w:szCs w:val="24"/>
        </w:rPr>
      </w:pPr>
    </w:p>
    <w:p w14:paraId="32C133D4" w14:textId="77777777" w:rsidR="000526F4" w:rsidRDefault="000526F4" w:rsidP="009F7836">
      <w:pPr>
        <w:ind w:firstLine="708"/>
        <w:jc w:val="both"/>
        <w:rPr>
          <w:rFonts w:ascii="Times New Roman" w:hAnsi="Times New Roman"/>
          <w:i/>
          <w:noProof/>
          <w:szCs w:val="24"/>
        </w:rPr>
      </w:pPr>
    </w:p>
    <w:p w14:paraId="23B90E06" w14:textId="77777777" w:rsidR="000526F4" w:rsidRDefault="000526F4" w:rsidP="009F7836">
      <w:pPr>
        <w:ind w:firstLine="708"/>
        <w:jc w:val="both"/>
        <w:rPr>
          <w:rFonts w:ascii="Times New Roman" w:hAnsi="Times New Roman"/>
          <w:i/>
          <w:noProof/>
          <w:szCs w:val="24"/>
        </w:rPr>
      </w:pPr>
    </w:p>
    <w:p w14:paraId="215EC829" w14:textId="38EE2974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003AB0A6" w14:textId="77777777" w:rsidR="003A1778" w:rsidRPr="00D321B2" w:rsidRDefault="003A1778" w:rsidP="003A1778">
      <w:pPr>
        <w:rPr>
          <w:lang w:val="en-US" w:eastAsia="bg-BG"/>
        </w:rPr>
      </w:pPr>
    </w:p>
    <w:p w14:paraId="669786DA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2294B0D0" w14:textId="77777777" w:rsidR="002A79DF" w:rsidRDefault="002A79DF" w:rsidP="00C3370D">
      <w:pPr>
        <w:jc w:val="both"/>
        <w:rPr>
          <w:rFonts w:ascii="Times New Roman" w:hAnsi="Times New Roman"/>
          <w:b/>
          <w:caps/>
          <w:szCs w:val="24"/>
        </w:rPr>
      </w:pPr>
    </w:p>
    <w:p w14:paraId="3D4FCDFD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399E461E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686"/>
        <w:gridCol w:w="1383"/>
      </w:tblGrid>
      <w:tr w:rsidR="008505E0" w:rsidRPr="0046265B" w14:paraId="5481F653" w14:textId="77777777" w:rsidTr="00C337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F10C" w14:textId="77777777" w:rsidR="008505E0" w:rsidRPr="0046265B" w:rsidRDefault="008505E0" w:rsidP="0034634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2A6D3FCA" w14:textId="3D0040C1" w:rsidR="008505E0" w:rsidRPr="0046265B" w:rsidRDefault="000526F4" w:rsidP="0034634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Cs w:val="24"/>
              </w:rPr>
              <w:t>КАМКО</w:t>
            </w:r>
            <w:r w:rsidR="00EC4B3A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ЕООД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E779" w14:textId="77777777" w:rsidR="008505E0" w:rsidRPr="0046265B" w:rsidRDefault="008505E0" w:rsidP="0034634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54A0E48C" w14:textId="10806327" w:rsidR="008505E0" w:rsidRPr="0046265B" w:rsidRDefault="008505E0" w:rsidP="00EC4B3A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Марка/модел/производител/технич</w:t>
            </w:r>
            <w:r w:rsidRPr="009F7836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ески характеристики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B5A9" w14:textId="77777777" w:rsidR="008505E0" w:rsidRPr="0046265B" w:rsidRDefault="008505E0" w:rsidP="0034634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8505E0" w:rsidRPr="0046265B" w14:paraId="5D13728D" w14:textId="77777777" w:rsidTr="00C337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3922E" w14:textId="34CC5F12" w:rsidR="008505E0" w:rsidRPr="00C3370D" w:rsidRDefault="008505E0" w:rsidP="00C3370D">
            <w:pPr>
              <w:pStyle w:val="ListParagraph"/>
              <w:spacing w:line="276" w:lineRule="auto"/>
              <w:ind w:left="0"/>
              <w:rPr>
                <w:bCs/>
                <w:noProof/>
                <w:snapToGrid w:val="0"/>
                <w:szCs w:val="24"/>
                <w:lang w:val="bg-BG"/>
              </w:rPr>
            </w:pPr>
            <w:r w:rsidRPr="00E258BB">
              <w:rPr>
                <w:bCs/>
                <w:noProof/>
                <w:snapToGrid w:val="0"/>
                <w:szCs w:val="24"/>
                <w:lang w:val="bg-BG"/>
              </w:rPr>
              <w:t>Изисквания към изпълнението и качеството на стоките:</w:t>
            </w:r>
          </w:p>
          <w:p w14:paraId="4E59173C" w14:textId="15BEABD2" w:rsidR="00D321B2" w:rsidRDefault="00717EAF" w:rsidP="00346341">
            <w:pPr>
              <w:pStyle w:val="ListParagraph"/>
              <w:spacing w:line="276" w:lineRule="auto"/>
              <w:ind w:left="0"/>
              <w:rPr>
                <w:b/>
                <w:i/>
                <w:iCs/>
                <w:noProof/>
                <w:szCs w:val="24"/>
                <w:lang w:val="bg-BG"/>
              </w:rPr>
            </w:pPr>
            <w:r w:rsidRPr="00717EAF">
              <w:rPr>
                <w:b/>
                <w:i/>
                <w:iCs/>
                <w:noProof/>
                <w:szCs w:val="24"/>
              </w:rPr>
              <w:t xml:space="preserve">Автоматична система за зареждане, позициониране, фиксиране, пълнене и завиване на флакони и буркани за козметични емулсии </w:t>
            </w:r>
            <w:r w:rsidR="00EC4B3A" w:rsidRPr="003D0067">
              <w:rPr>
                <w:b/>
                <w:i/>
                <w:iCs/>
                <w:noProof/>
                <w:szCs w:val="24"/>
              </w:rPr>
              <w:t>- 1 брой</w:t>
            </w:r>
          </w:p>
          <w:p w14:paraId="232272D0" w14:textId="77777777" w:rsidR="00EC4B3A" w:rsidRPr="00EC4B3A" w:rsidRDefault="00EC4B3A" w:rsidP="00346341">
            <w:pPr>
              <w:pStyle w:val="ListParagraph"/>
              <w:spacing w:line="276" w:lineRule="auto"/>
              <w:ind w:left="0"/>
              <w:rPr>
                <w:b/>
                <w:i/>
                <w:iCs/>
                <w:noProof/>
                <w:snapToGrid w:val="0"/>
                <w:szCs w:val="24"/>
                <w:lang w:val="bg-BG"/>
              </w:rPr>
            </w:pPr>
          </w:p>
          <w:p w14:paraId="3FD6A6BB" w14:textId="77777777" w:rsidR="008505E0" w:rsidRDefault="008505E0" w:rsidP="008505E0">
            <w:pPr>
              <w:pStyle w:val="ListParagraph"/>
              <w:spacing w:line="276" w:lineRule="auto"/>
              <w:ind w:left="0"/>
              <w:rPr>
                <w:b/>
                <w:noProof/>
                <w:snapToGrid w:val="0"/>
                <w:szCs w:val="24"/>
                <w:lang w:val="bg-BG"/>
              </w:rPr>
            </w:pPr>
            <w:r w:rsidRPr="001A1370">
              <w:rPr>
                <w:b/>
                <w:noProof/>
                <w:snapToGrid w:val="0"/>
                <w:szCs w:val="24"/>
                <w:lang w:val="bg-BG"/>
              </w:rPr>
              <w:t>Минимални технически и функционални характеристики:</w:t>
            </w:r>
          </w:p>
          <w:p w14:paraId="78EE30DE" w14:textId="77777777" w:rsidR="00717EAF" w:rsidRPr="00717EAF" w:rsidRDefault="00717EAF" w:rsidP="00717EA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Вискозитет на емулсиите – от вода до крем</w:t>
            </w:r>
          </w:p>
          <w:p w14:paraId="64D5A51D" w14:textId="77777777" w:rsidR="00717EAF" w:rsidRPr="00717EAF" w:rsidRDefault="00717EAF" w:rsidP="00717EA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Система за водене на свободно стоящи и несвободно стоящи флакони</w:t>
            </w:r>
          </w:p>
          <w:p w14:paraId="732C3C19" w14:textId="77777777" w:rsidR="00717EAF" w:rsidRPr="00717EAF" w:rsidRDefault="00717EAF" w:rsidP="00717EA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Система за ориентиране и завиване на капачки</w:t>
            </w:r>
          </w:p>
          <w:p w14:paraId="030A80E0" w14:textId="77777777" w:rsidR="00717EAF" w:rsidRPr="00717EAF" w:rsidRDefault="00717EAF" w:rsidP="00717EA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Дозиране с мин. два цилиндъра – един от 10 до 80 мл и един от 70 до 500 мл</w:t>
            </w:r>
          </w:p>
          <w:p w14:paraId="44FEB32B" w14:textId="77777777" w:rsidR="00717EAF" w:rsidRPr="00717EAF" w:rsidRDefault="00717EAF" w:rsidP="00717EA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Макс механична скорост 2400 цикъла/час</w:t>
            </w:r>
          </w:p>
          <w:p w14:paraId="7A2C4F63" w14:textId="77777777" w:rsidR="00717EAF" w:rsidRPr="00717EAF" w:rsidRDefault="00717EAF" w:rsidP="00717EA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 xml:space="preserve">Диапазон на диаметри на флаконите </w:t>
            </w:r>
            <w:r w:rsidRPr="00717EAF">
              <w:rPr>
                <w:bCs/>
                <w:noProof/>
                <w:snapToGrid w:val="0"/>
                <w:szCs w:val="24"/>
                <w:lang w:val="bg-BG"/>
              </w:rPr>
              <w:lastRenderedPageBreak/>
              <w:t>– от 20 до 100 мм</w:t>
            </w:r>
          </w:p>
          <w:p w14:paraId="10EE86D9" w14:textId="77777777" w:rsidR="00717EAF" w:rsidRPr="00717EAF" w:rsidRDefault="00717EAF" w:rsidP="00717EA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Потапяща дюза с ход от 160 мм</w:t>
            </w:r>
          </w:p>
          <w:p w14:paraId="29B7EC4E" w14:textId="77777777" w:rsidR="00717EAF" w:rsidRPr="00717EAF" w:rsidRDefault="00717EAF" w:rsidP="00717EA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Брой на държачите за флакони – 60 бр.</w:t>
            </w:r>
          </w:p>
          <w:p w14:paraId="7122C27C" w14:textId="0FF12C07" w:rsidR="00EC4B3A" w:rsidRPr="00EC4B3A" w:rsidRDefault="00717EAF" w:rsidP="00717EA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Система за въртене на флакона под станцията на дозиране</w:t>
            </w:r>
            <w:r w:rsidR="00EC4B3A">
              <w:rPr>
                <w:bCs/>
                <w:noProof/>
                <w:snapToGrid w:val="0"/>
                <w:szCs w:val="24"/>
                <w:lang w:val="bg-BG"/>
              </w:rPr>
              <w:t>;</w:t>
            </w:r>
          </w:p>
          <w:p w14:paraId="64B14E7D" w14:textId="77777777" w:rsidR="00EC4B3A" w:rsidRPr="00EC4B3A" w:rsidRDefault="00EC4B3A" w:rsidP="00EC4B3A">
            <w:pPr>
              <w:pStyle w:val="ListParagraph"/>
              <w:spacing w:line="276" w:lineRule="auto"/>
              <w:ind w:left="0"/>
              <w:rPr>
                <w:b/>
                <w:noProof/>
                <w:snapToGrid w:val="0"/>
                <w:szCs w:val="24"/>
                <w:lang w:val="bg-BG"/>
              </w:rPr>
            </w:pPr>
          </w:p>
          <w:p w14:paraId="38BB233E" w14:textId="77777777" w:rsidR="008505E0" w:rsidRPr="00E258BB" w:rsidRDefault="008505E0" w:rsidP="00346341">
            <w:pPr>
              <w:pStyle w:val="ListParagraph"/>
              <w:spacing w:line="276" w:lineRule="auto"/>
              <w:ind w:left="0"/>
              <w:rPr>
                <w:bCs/>
                <w:noProof/>
                <w:snapToGrid w:val="0"/>
                <w:szCs w:val="24"/>
                <w:lang w:val="bg-BG"/>
              </w:rPr>
            </w:pPr>
            <w:r w:rsidRPr="00E258BB">
              <w:rPr>
                <w:b/>
                <w:i/>
                <w:iCs/>
                <w:noProof/>
                <w:snapToGrid w:val="0"/>
                <w:szCs w:val="24"/>
                <w:lang w:val="bg-BG"/>
              </w:rPr>
              <w:t>Допълнителни технически параметри, които се оценяват в Методика за оценка:</w:t>
            </w:r>
          </w:p>
          <w:p w14:paraId="5D8318A0" w14:textId="77777777" w:rsidR="00717EAF" w:rsidRPr="00717EAF" w:rsidRDefault="00717EAF" w:rsidP="00717EA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Шест канално, подвижно пълнене, следващо движението на флаконите, със серво-мотори</w:t>
            </w:r>
          </w:p>
          <w:p w14:paraId="0954A931" w14:textId="77777777" w:rsidR="00717EAF" w:rsidRPr="00717EAF" w:rsidRDefault="00717EAF" w:rsidP="00717EA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 xml:space="preserve">Минимална производителност от 60 бр./мин </w:t>
            </w:r>
          </w:p>
          <w:p w14:paraId="0FEB61F8" w14:textId="77777777" w:rsidR="00717EAF" w:rsidRPr="00717EAF" w:rsidRDefault="00717EAF" w:rsidP="00717EA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Наличие две мобилни сменяеми дозиращи системи, оборудвани с минимум пет комплекта дозиращи игли с различни диаметри</w:t>
            </w:r>
          </w:p>
          <w:p w14:paraId="541A1E2A" w14:textId="77777777" w:rsidR="00717EAF" w:rsidRPr="00717EAF" w:rsidRDefault="00717EAF" w:rsidP="00717EA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 xml:space="preserve">Регулируеми държачи с възможност за обхващане на флакони с диаметри 20 до 100 мм и височини 30 до 250 мм </w:t>
            </w:r>
          </w:p>
          <w:p w14:paraId="09041E82" w14:textId="77777777" w:rsidR="00717EAF" w:rsidRPr="00717EAF" w:rsidRDefault="00717EAF" w:rsidP="00717EA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 xml:space="preserve">Системи с камери и по два робота тип spider за автоматично поставяне на капачки и на флаконите в държачи </w:t>
            </w:r>
          </w:p>
          <w:p w14:paraId="7E130E41" w14:textId="77777777" w:rsidR="00717EAF" w:rsidRPr="00717EAF" w:rsidRDefault="00717EAF" w:rsidP="00717EA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 xml:space="preserve">Системи за сортиране от насипно състояние на капачки и флакони </w:t>
            </w:r>
          </w:p>
          <w:p w14:paraId="3C16DA2F" w14:textId="77777777" w:rsidR="00717EAF" w:rsidRPr="00717EAF" w:rsidRDefault="00717EAF" w:rsidP="00717EA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Вибро-система за автоматично ориентиране и поставяне на набивна под-капачка</w:t>
            </w:r>
          </w:p>
          <w:p w14:paraId="53BD1F9B" w14:textId="77777777" w:rsidR="00717EAF" w:rsidRPr="00717EAF" w:rsidRDefault="00717EAF" w:rsidP="00717EA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Три-канална подвижна завиваща система за винтови над-капачки с фунция за предпазване от нараняване на флакони и капачки</w:t>
            </w:r>
          </w:p>
          <w:p w14:paraId="197251AE" w14:textId="77777777" w:rsidR="00717EAF" w:rsidRPr="00717EAF" w:rsidRDefault="00717EAF" w:rsidP="00717EA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Система с три улея за подаване на помпи и тригер-помпи към станции завиване</w:t>
            </w:r>
          </w:p>
          <w:p w14:paraId="307BE25F" w14:textId="77777777" w:rsidR="008505E0" w:rsidRDefault="00717EAF" w:rsidP="00717EA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bCs/>
                <w:noProof/>
                <w:snapToGrid w:val="0"/>
                <w:szCs w:val="24"/>
                <w:lang w:val="bg-BG"/>
              </w:rPr>
            </w:pPr>
            <w:r w:rsidRPr="00717EAF">
              <w:rPr>
                <w:bCs/>
                <w:noProof/>
                <w:snapToGrid w:val="0"/>
                <w:szCs w:val="24"/>
                <w:lang w:val="bg-BG"/>
              </w:rPr>
              <w:t>Клампов конвейр и роторна етикетираща станция за маркиране и етикетиране на флакони</w:t>
            </w:r>
          </w:p>
          <w:p w14:paraId="55829303" w14:textId="7CDED0BE" w:rsidR="00B61630" w:rsidRPr="00B61630" w:rsidRDefault="00B61630" w:rsidP="00B61630">
            <w:pPr>
              <w:pStyle w:val="ListParagraph"/>
              <w:spacing w:line="276" w:lineRule="auto"/>
              <w:ind w:left="0"/>
              <w:rPr>
                <w:bCs/>
                <w:i/>
                <w:iCs/>
                <w:noProof/>
                <w:snapToGrid w:val="0"/>
                <w:szCs w:val="24"/>
                <w:lang w:val="bg-BG"/>
              </w:rPr>
            </w:pPr>
            <w:r w:rsidRPr="00B61630">
              <w:rPr>
                <w:bCs/>
                <w:i/>
                <w:iCs/>
                <w:noProof/>
                <w:snapToGrid w:val="0"/>
                <w:szCs w:val="24"/>
                <w:lang w:val="bg-BG"/>
              </w:rPr>
              <w:t xml:space="preserve">Важно! В случай, че в документацията има информация, насочваща към конкретен модел, източник, процес, търговска марка, </w:t>
            </w:r>
            <w:r w:rsidRPr="00B61630">
              <w:rPr>
                <w:bCs/>
                <w:i/>
                <w:iCs/>
                <w:noProof/>
                <w:snapToGrid w:val="0"/>
                <w:szCs w:val="24"/>
                <w:lang w:val="bg-BG"/>
              </w:rPr>
              <w:lastRenderedPageBreak/>
              <w:t>патент, производител или друго подобно, което би довело до облагодетелстването или елиминирането на определени лица или продукти, следва да се счита, че се приемат и еквиваленти.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ECCBC" w14:textId="77777777" w:rsidR="008505E0" w:rsidRPr="009F7836" w:rsidRDefault="008505E0" w:rsidP="00346341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0F854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8505E0" w:rsidRPr="0046265B" w14:paraId="2253DCAD" w14:textId="77777777" w:rsidTr="00C337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E625D" w14:textId="77777777" w:rsidR="008505E0" w:rsidRPr="008F155A" w:rsidRDefault="008505E0" w:rsidP="00346341">
            <w:pPr>
              <w:jc w:val="both"/>
              <w:rPr>
                <w:rFonts w:ascii="Times New Roman" w:hAnsi="Times New Roman"/>
                <w:noProof/>
                <w:position w:val="8"/>
                <w:szCs w:val="24"/>
              </w:rPr>
            </w:pPr>
            <w:r w:rsidRPr="008F155A">
              <w:rPr>
                <w:rFonts w:ascii="Times New Roman" w:hAnsi="Times New Roman"/>
                <w:noProof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8F155A">
              <w:rPr>
                <w:rFonts w:ascii="Times New Roman" w:hAnsi="Times New Roman"/>
                <w:noProof/>
                <w:position w:val="8"/>
                <w:szCs w:val="24"/>
              </w:rPr>
              <w:t>извънгаранционната поддръжка:</w:t>
            </w:r>
          </w:p>
          <w:p w14:paraId="42795258" w14:textId="77777777" w:rsidR="00A56FFF" w:rsidRPr="00A56FFF" w:rsidRDefault="00A56FFF" w:rsidP="00A56FFF">
            <w:pPr>
              <w:pStyle w:val="ListParagraph"/>
              <w:ind w:left="142"/>
              <w:rPr>
                <w:bCs/>
                <w:noProof/>
                <w:szCs w:val="24"/>
                <w:lang w:val="bg-BG"/>
              </w:rPr>
            </w:pPr>
            <w:r w:rsidRPr="00A56FFF">
              <w:rPr>
                <w:bCs/>
                <w:noProof/>
                <w:szCs w:val="24"/>
                <w:lang w:val="bg-BG"/>
              </w:rPr>
              <w:t>1. Изискуем гаранционен срок – кандидатът трябва да е в състояние да предостави минимум 12 месеца гаранционна поддръжка на активите, описани в т. ІІ.1.2 от Публичната покана след подписване на финален приемо-предавателен протокол. Гаранционните условия са уредени в договора за изпълнение.</w:t>
            </w:r>
          </w:p>
          <w:p w14:paraId="4358D17C" w14:textId="77777777" w:rsidR="00A56FFF" w:rsidRPr="00A56FFF" w:rsidRDefault="00A56FFF" w:rsidP="00A56FFF">
            <w:pPr>
              <w:pStyle w:val="ListParagraph"/>
              <w:ind w:left="142"/>
              <w:rPr>
                <w:bCs/>
                <w:noProof/>
                <w:szCs w:val="24"/>
                <w:lang w:val="bg-BG"/>
              </w:rPr>
            </w:pPr>
            <w:r w:rsidRPr="00A56FFF">
              <w:rPr>
                <w:bCs/>
                <w:noProof/>
                <w:szCs w:val="24"/>
                <w:lang w:val="bg-BG"/>
              </w:rPr>
              <w:t xml:space="preserve">2. Време за реакция при проблем (констатиране на възникнала повреда) - в часове, считано от подаден сигнал за възникналата повреда. </w:t>
            </w:r>
          </w:p>
          <w:p w14:paraId="027C4614" w14:textId="416961E1" w:rsidR="008505E0" w:rsidRPr="00C3370D" w:rsidRDefault="00A56FFF" w:rsidP="00A56FFF">
            <w:pPr>
              <w:pStyle w:val="ListParagraph"/>
              <w:autoSpaceDE w:val="0"/>
              <w:ind w:left="0"/>
              <w:rPr>
                <w:noProof/>
                <w:szCs w:val="24"/>
              </w:rPr>
            </w:pPr>
            <w:r w:rsidRPr="00A56FFF">
              <w:rPr>
                <w:bCs/>
                <w:noProof/>
                <w:szCs w:val="24"/>
                <w:lang w:val="bg-BG"/>
              </w:rPr>
              <w:t xml:space="preserve"> *Времето за реакция при повреда с посещение на техник не може да бъде по-кратко от 2 часа или по-дълго от 72 часа.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93173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AEDDC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8505E0" w:rsidRPr="0046265B" w14:paraId="29782F12" w14:textId="77777777" w:rsidTr="00C337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A5464" w14:textId="77777777" w:rsidR="00A56FFF" w:rsidRDefault="00A56FFF" w:rsidP="00A56FFF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38146B40" w14:textId="77777777" w:rsidR="00A56FFF" w:rsidRDefault="00A56FFF" w:rsidP="00A56FFF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Оборудването следва да бъде придружено от:</w:t>
            </w:r>
          </w:p>
          <w:p w14:paraId="026357D0" w14:textId="77777777" w:rsidR="00A56FFF" w:rsidRDefault="00A56FFF" w:rsidP="00A56FFF">
            <w:pPr>
              <w:jc w:val="both"/>
              <w:rPr>
                <w:rFonts w:ascii="Times New Roman" w:hAnsi="Times New Roman"/>
                <w:iCs/>
                <w:szCs w:val="24"/>
              </w:rPr>
            </w:pPr>
            <w:r w:rsidRPr="00A56FFF">
              <w:rPr>
                <w:rFonts w:ascii="Times New Roman" w:hAnsi="Times New Roman"/>
                <w:iCs/>
                <w:szCs w:val="24"/>
              </w:rPr>
              <w:t>1</w:t>
            </w:r>
            <w:r>
              <w:rPr>
                <w:rFonts w:ascii="Times New Roman" w:hAnsi="Times New Roman"/>
                <w:i/>
                <w:szCs w:val="24"/>
              </w:rPr>
              <w:t>.</w:t>
            </w:r>
            <w:r>
              <w:rPr>
                <w:rFonts w:ascii="Times New Roman" w:hAnsi="Times New Roman"/>
                <w:iCs/>
                <w:szCs w:val="24"/>
              </w:rPr>
              <w:t xml:space="preserve">Ръководство за експлоатация на оборудването или еквивалентен документ – на хартиен или електронен носител  </w:t>
            </w:r>
          </w:p>
          <w:p w14:paraId="382C66B5" w14:textId="77777777" w:rsidR="00A56FFF" w:rsidRDefault="00A56FFF" w:rsidP="00A56FFF">
            <w:pPr>
              <w:jc w:val="both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2. Технически паспорт на оборудването или еквивалентен документ – на хартиен или електронен носител.</w:t>
            </w:r>
          </w:p>
          <w:p w14:paraId="2DE45D1F" w14:textId="1A6D04AD" w:rsidR="008505E0" w:rsidRPr="0046265B" w:rsidRDefault="00A56FFF" w:rsidP="00A56FFF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Cs w:val="24"/>
              </w:rPr>
              <w:t>Документацията е допустимо да бъде представена на български и/или на английски език.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4841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9EDD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8505E0" w:rsidRPr="0046265B" w14:paraId="3B37D4E1" w14:textId="77777777" w:rsidTr="00C337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9484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17F850AA" w14:textId="77777777" w:rsidR="008505E0" w:rsidRPr="00E631B5" w:rsidRDefault="008505E0" w:rsidP="0034634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22850">
              <w:rPr>
                <w:rFonts w:ascii="Times New Roman" w:hAnsi="Times New Roman"/>
                <w:i/>
                <w:iCs/>
                <w:noProof/>
                <w:color w:val="000000"/>
                <w:position w:val="8"/>
                <w:szCs w:val="24"/>
              </w:rPr>
              <w:t>Не е приложимо</w:t>
            </w:r>
          </w:p>
          <w:p w14:paraId="2C3B52E4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7CA18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0EFAF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8505E0" w:rsidRPr="0046265B" w14:paraId="084CBA19" w14:textId="77777777" w:rsidTr="00C337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EA071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за обучение на персонала на </w:t>
            </w:r>
            <w:r>
              <w:rPr>
                <w:rFonts w:ascii="Times New Roman" w:hAnsi="Times New Roman"/>
                <w:szCs w:val="24"/>
              </w:rPr>
              <w:t>крайния получател</w:t>
            </w:r>
            <w:r w:rsidRPr="0046265B">
              <w:rPr>
                <w:rFonts w:ascii="Times New Roman" w:hAnsi="Times New Roman"/>
                <w:szCs w:val="24"/>
              </w:rPr>
              <w:t xml:space="preserve"> за експлоатация :</w:t>
            </w:r>
          </w:p>
          <w:p w14:paraId="488DEDAF" w14:textId="77777777" w:rsidR="008505E0" w:rsidRDefault="008505E0" w:rsidP="0034634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7E43C3A" w14:textId="77777777" w:rsidR="008505E0" w:rsidRPr="00E631B5" w:rsidRDefault="008505E0" w:rsidP="00346341">
            <w:pPr>
              <w:jc w:val="both"/>
              <w:rPr>
                <w:rFonts w:ascii="Times New Roman" w:hAnsi="Times New Roman"/>
                <w:szCs w:val="24"/>
              </w:rPr>
            </w:pPr>
            <w:r w:rsidRPr="00E631B5">
              <w:rPr>
                <w:rFonts w:ascii="Times New Roman" w:hAnsi="Times New Roman"/>
                <w:szCs w:val="24"/>
              </w:rPr>
              <w:t xml:space="preserve">Разходите за обучение на персонала на Възложителя за работа с оборудването следва да са за сметка на Изпълнителя. </w:t>
            </w:r>
          </w:p>
          <w:p w14:paraId="59E734E4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4F509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90475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8505E0" w:rsidRPr="0046265B" w14:paraId="621858E9" w14:textId="77777777" w:rsidTr="00C337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1067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 xml:space="preserve">Подпомагащи дейности и условия от </w:t>
            </w:r>
            <w:r>
              <w:rPr>
                <w:rFonts w:ascii="Times New Roman" w:hAnsi="Times New Roman"/>
                <w:szCs w:val="24"/>
              </w:rPr>
              <w:t>крайния получател</w:t>
            </w:r>
            <w:r w:rsidRPr="0046265B">
              <w:rPr>
                <w:rFonts w:ascii="Times New Roman" w:hAnsi="Times New Roman"/>
                <w:szCs w:val="24"/>
              </w:rPr>
              <w:t xml:space="preserve">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525DDF30" w14:textId="77777777" w:rsidR="008505E0" w:rsidRPr="008F155A" w:rsidRDefault="008505E0" w:rsidP="00346341">
            <w:pPr>
              <w:jc w:val="both"/>
              <w:rPr>
                <w:rFonts w:ascii="Times New Roman" w:hAnsi="Times New Roman"/>
                <w:noProof/>
                <w:color w:val="000000"/>
                <w:szCs w:val="24"/>
              </w:rPr>
            </w:pPr>
            <w:r>
              <w:rPr>
                <w:rFonts w:ascii="Times New Roman" w:hAnsi="Times New Roman"/>
                <w:i/>
                <w:noProof/>
                <w:color w:val="000000"/>
                <w:szCs w:val="24"/>
              </w:rPr>
              <w:t>Не е приложимо</w:t>
            </w:r>
          </w:p>
          <w:p w14:paraId="76480EE0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FA16F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F51D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8505E0" w:rsidRPr="0046265B" w14:paraId="6EDEF501" w14:textId="77777777" w:rsidTr="00C337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DAC1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Pr="00E631B5">
              <w:rPr>
                <w:rFonts w:ascii="Times New Roman" w:hAnsi="Times New Roman"/>
                <w:i/>
                <w:iCs/>
                <w:color w:val="000000"/>
                <w:position w:val="8"/>
                <w:szCs w:val="24"/>
              </w:rPr>
              <w:t>Не е приложимо</w:t>
            </w:r>
          </w:p>
          <w:p w14:paraId="3D2FFE79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2320F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5BF2" w14:textId="77777777" w:rsidR="008505E0" w:rsidRPr="0046265B" w:rsidRDefault="008505E0" w:rsidP="00346341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38E9B134" w14:textId="77777777" w:rsidR="00C3370D" w:rsidRDefault="00C3370D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6E5AC83C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2BC09B5C" w14:textId="77777777" w:rsidR="00060621" w:rsidRDefault="00060621" w:rsidP="00C3370D">
      <w:pPr>
        <w:rPr>
          <w:rFonts w:ascii="Times New Roman" w:hAnsi="Times New Roman"/>
          <w:color w:val="000000"/>
          <w:position w:val="8"/>
          <w:szCs w:val="24"/>
        </w:rPr>
      </w:pPr>
    </w:p>
    <w:p w14:paraId="1714F21D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19990646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1E9266B3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717AAE80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0A855DAA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3966EB4B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868"/>
        <w:gridCol w:w="2693"/>
      </w:tblGrid>
      <w:tr w:rsidR="00060621" w:rsidRPr="00060621" w14:paraId="6172119F" w14:textId="77777777" w:rsidTr="00C3370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5D805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11C9F2" w14:textId="13DA346B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</w:t>
            </w:r>
          </w:p>
          <w:p w14:paraId="477D2D2B" w14:textId="35FC2AA6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3AA5D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F7D23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7A483D8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6E45A1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11E9C0A1" w14:textId="77777777" w:rsidTr="00C3370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1ADC5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8334A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87655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47E52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E7FCE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AC41462" w14:textId="77777777" w:rsidTr="00C3370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8F9C35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686E2D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5794C7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38DB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106F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338BC861" w14:textId="77777777" w:rsidTr="00C3370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4ED35C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0F4F81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69F4F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E746D3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94F51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07C872F7" w14:textId="77777777" w:rsidTr="00C3370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92F44D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B2F74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C444D1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90D55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55A5D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2FEF2E3F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05CDE96D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4780B976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3057CCEB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335D202C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16A818CB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49CBF14C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2FF4CA60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5D048F94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304FE47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419BB7A5" w14:textId="02EE3D85" w:rsid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0533E076" w14:textId="77777777" w:rsidR="00C3370D" w:rsidRDefault="00C3370D" w:rsidP="00060621">
      <w:pPr>
        <w:rPr>
          <w:rFonts w:ascii="Times New Roman" w:hAnsi="Times New Roman"/>
        </w:rPr>
      </w:pPr>
    </w:p>
    <w:p w14:paraId="55982CCB" w14:textId="4B4BC021" w:rsidR="00CA7DC5" w:rsidRPr="00FE16FE" w:rsidRDefault="00CA7DC5" w:rsidP="00CA7DC5">
      <w:pPr>
        <w:autoSpaceDE w:val="0"/>
        <w:snapToGrid w:val="0"/>
        <w:jc w:val="both"/>
        <w:rPr>
          <w:rFonts w:ascii="Times New Roman" w:hAnsi="Times New Roman"/>
          <w:bCs/>
          <w:noProof/>
          <w:szCs w:val="24"/>
        </w:rPr>
      </w:pPr>
      <w:r w:rsidRPr="00FE16FE">
        <w:rPr>
          <w:rFonts w:ascii="Times New Roman" w:hAnsi="Times New Roman"/>
          <w:bCs/>
          <w:noProof/>
          <w:szCs w:val="24"/>
        </w:rPr>
        <w:t>Стойностите по договора за доставка, монтаж и пускане в експлоатация на оборудването</w:t>
      </w:r>
      <w:bookmarkStart w:id="2" w:name="_Hlk496792645"/>
      <w:r w:rsidRPr="00FE16FE">
        <w:rPr>
          <w:rFonts w:ascii="Times New Roman" w:hAnsi="Times New Roman"/>
          <w:noProof/>
          <w:szCs w:val="24"/>
          <w:shd w:val="clear" w:color="auto" w:fill="FFFFFF"/>
        </w:rPr>
        <w:t xml:space="preserve">, </w:t>
      </w:r>
      <w:bookmarkEnd w:id="2"/>
      <w:r w:rsidRPr="00FE16FE">
        <w:rPr>
          <w:rFonts w:ascii="Times New Roman" w:hAnsi="Times New Roman"/>
          <w:bCs/>
          <w:noProof/>
          <w:szCs w:val="24"/>
        </w:rPr>
        <w:t>се плащат в лева или евро по банков път, както следва:</w:t>
      </w:r>
    </w:p>
    <w:p w14:paraId="3E6DEB1A" w14:textId="77777777" w:rsidR="005C5808" w:rsidRPr="007D7E40" w:rsidRDefault="005C5808" w:rsidP="005C5808">
      <w:pPr>
        <w:pStyle w:val="ListParagraph"/>
        <w:numPr>
          <w:ilvl w:val="0"/>
          <w:numId w:val="13"/>
        </w:numPr>
        <w:autoSpaceDE w:val="0"/>
        <w:rPr>
          <w:bCs/>
          <w:noProof/>
          <w:szCs w:val="24"/>
        </w:rPr>
      </w:pPr>
      <w:bookmarkStart w:id="3" w:name="_Hlk195619581"/>
      <w:r w:rsidRPr="007D7E40">
        <w:rPr>
          <w:bCs/>
          <w:noProof/>
          <w:szCs w:val="24"/>
        </w:rPr>
        <w:t xml:space="preserve">Авансово плащане в размер на 40 (четиридесет) % от стойността на договора, </w:t>
      </w:r>
      <w:r>
        <w:rPr>
          <w:bCs/>
          <w:noProof/>
          <w:szCs w:val="24"/>
        </w:rPr>
        <w:t>платимо</w:t>
      </w:r>
      <w:r w:rsidRPr="007D7E40">
        <w:rPr>
          <w:bCs/>
          <w:noProof/>
          <w:szCs w:val="24"/>
        </w:rPr>
        <w:t xml:space="preserve"> в срок до 7 дни, след подписване на договора;</w:t>
      </w:r>
    </w:p>
    <w:p w14:paraId="19E12B79" w14:textId="77777777" w:rsidR="005C5808" w:rsidRPr="007D7E40" w:rsidRDefault="005C5808" w:rsidP="005C5808">
      <w:pPr>
        <w:pStyle w:val="ListParagraph"/>
        <w:numPr>
          <w:ilvl w:val="0"/>
          <w:numId w:val="13"/>
        </w:numPr>
        <w:autoSpaceDE w:val="0"/>
        <w:rPr>
          <w:bCs/>
          <w:noProof/>
          <w:szCs w:val="24"/>
        </w:rPr>
      </w:pPr>
      <w:r w:rsidRPr="007D7E40">
        <w:rPr>
          <w:bCs/>
          <w:noProof/>
          <w:szCs w:val="24"/>
        </w:rPr>
        <w:t>Първо</w:t>
      </w:r>
      <w:r>
        <w:rPr>
          <w:bCs/>
          <w:noProof/>
          <w:szCs w:val="24"/>
        </w:rPr>
        <w:t xml:space="preserve"> </w:t>
      </w:r>
      <w:r w:rsidRPr="007D7E40">
        <w:rPr>
          <w:bCs/>
          <w:noProof/>
          <w:szCs w:val="24"/>
        </w:rPr>
        <w:t xml:space="preserve">Междинно плащане, в размер на </w:t>
      </w:r>
      <w:r>
        <w:rPr>
          <w:bCs/>
          <w:noProof/>
          <w:szCs w:val="24"/>
          <w:lang w:val="en-US"/>
        </w:rPr>
        <w:t>20</w:t>
      </w:r>
      <w:r>
        <w:rPr>
          <w:bCs/>
          <w:noProof/>
          <w:szCs w:val="24"/>
        </w:rPr>
        <w:t xml:space="preserve"> </w:t>
      </w:r>
      <w:r>
        <w:rPr>
          <w:bCs/>
          <w:noProof/>
          <w:szCs w:val="24"/>
          <w:lang w:val="en-US"/>
        </w:rPr>
        <w:t>(</w:t>
      </w:r>
      <w:r>
        <w:rPr>
          <w:bCs/>
          <w:noProof/>
          <w:szCs w:val="24"/>
        </w:rPr>
        <w:t>двадесет) % от стойността на оборудването, платимо</w:t>
      </w:r>
      <w:r w:rsidRPr="007D7E40">
        <w:rPr>
          <w:bCs/>
          <w:noProof/>
          <w:szCs w:val="24"/>
        </w:rPr>
        <w:t xml:space="preserve"> в срок до 7 дни</w:t>
      </w:r>
      <w:r>
        <w:rPr>
          <w:bCs/>
          <w:noProof/>
          <w:szCs w:val="24"/>
        </w:rPr>
        <w:t xml:space="preserve"> след </w:t>
      </w:r>
      <w:r w:rsidRPr="007D7E40">
        <w:rPr>
          <w:bCs/>
          <w:noProof/>
          <w:szCs w:val="24"/>
        </w:rPr>
        <w:t xml:space="preserve">получаване на писмено уведомление, че отделните модули на </w:t>
      </w:r>
      <w:r>
        <w:rPr>
          <w:bCs/>
          <w:noProof/>
          <w:szCs w:val="24"/>
        </w:rPr>
        <w:t>оборудването</w:t>
      </w:r>
      <w:r w:rsidRPr="007D7E40">
        <w:rPr>
          <w:bCs/>
          <w:noProof/>
          <w:szCs w:val="24"/>
        </w:rPr>
        <w:t xml:space="preserve"> са сглобени</w:t>
      </w:r>
      <w:r>
        <w:rPr>
          <w:bCs/>
          <w:noProof/>
          <w:szCs w:val="24"/>
        </w:rPr>
        <w:t xml:space="preserve"> (асемблиране на актива)</w:t>
      </w:r>
      <w:r w:rsidRPr="007D7E40">
        <w:rPr>
          <w:bCs/>
          <w:noProof/>
          <w:szCs w:val="24"/>
        </w:rPr>
        <w:t>;</w:t>
      </w:r>
    </w:p>
    <w:p w14:paraId="6E4D916D" w14:textId="77777777" w:rsidR="005C5808" w:rsidRPr="007D7E40" w:rsidRDefault="005C5808" w:rsidP="005C5808">
      <w:pPr>
        <w:pStyle w:val="ListParagraph"/>
        <w:numPr>
          <w:ilvl w:val="0"/>
          <w:numId w:val="13"/>
        </w:numPr>
        <w:autoSpaceDE w:val="0"/>
        <w:rPr>
          <w:bCs/>
          <w:noProof/>
          <w:szCs w:val="24"/>
        </w:rPr>
      </w:pPr>
      <w:r>
        <w:rPr>
          <w:bCs/>
          <w:noProof/>
          <w:szCs w:val="24"/>
        </w:rPr>
        <w:t xml:space="preserve">Второ </w:t>
      </w:r>
      <w:r w:rsidRPr="007D7E40">
        <w:rPr>
          <w:bCs/>
          <w:noProof/>
          <w:szCs w:val="24"/>
        </w:rPr>
        <w:t>Междинно плащане, в размер на 2</w:t>
      </w:r>
      <w:r>
        <w:rPr>
          <w:bCs/>
          <w:noProof/>
          <w:szCs w:val="24"/>
        </w:rPr>
        <w:t>5</w:t>
      </w:r>
      <w:r w:rsidRPr="007D7E40">
        <w:rPr>
          <w:bCs/>
          <w:noProof/>
          <w:szCs w:val="24"/>
        </w:rPr>
        <w:t xml:space="preserve"> (двадесет</w:t>
      </w:r>
      <w:r>
        <w:rPr>
          <w:bCs/>
          <w:noProof/>
          <w:szCs w:val="24"/>
        </w:rPr>
        <w:t xml:space="preserve"> и пет</w:t>
      </w:r>
      <w:r w:rsidRPr="007D7E40">
        <w:rPr>
          <w:bCs/>
          <w:noProof/>
          <w:szCs w:val="24"/>
        </w:rPr>
        <w:t xml:space="preserve">) % от стойността на оборудването, </w:t>
      </w:r>
      <w:r>
        <w:rPr>
          <w:bCs/>
          <w:noProof/>
          <w:szCs w:val="24"/>
        </w:rPr>
        <w:t>платимо</w:t>
      </w:r>
      <w:r w:rsidRPr="007D7E40">
        <w:rPr>
          <w:bCs/>
          <w:noProof/>
          <w:szCs w:val="24"/>
        </w:rPr>
        <w:t xml:space="preserve"> в срок до 7 дни след след получаване на писмен документ, че </w:t>
      </w:r>
      <w:r w:rsidRPr="007D7E40">
        <w:rPr>
          <w:bCs/>
          <w:noProof/>
          <w:szCs w:val="24"/>
        </w:rPr>
        <w:lastRenderedPageBreak/>
        <w:t>оборудването е преминало успешно FAT (Factory Acceptance Test) и е готово за експедиция.</w:t>
      </w:r>
    </w:p>
    <w:p w14:paraId="30D105F3" w14:textId="77777777" w:rsidR="005C5808" w:rsidRPr="007D7E40" w:rsidRDefault="005C5808" w:rsidP="005C5808">
      <w:pPr>
        <w:pStyle w:val="ListParagraph"/>
        <w:numPr>
          <w:ilvl w:val="0"/>
          <w:numId w:val="13"/>
        </w:numPr>
        <w:rPr>
          <w:bCs/>
          <w:noProof/>
          <w:szCs w:val="24"/>
        </w:rPr>
      </w:pPr>
      <w:r w:rsidRPr="007D7E40">
        <w:rPr>
          <w:bCs/>
          <w:noProof/>
          <w:szCs w:val="24"/>
        </w:rPr>
        <w:t xml:space="preserve">Балансово плащане, в размер на 15 (петнадесет) % от стойността на оборудването, платимо в срок до 7 дни от подписване на приемо-предавателен протокол по образец на финансиращата програма за доставка и въвеждане в експлоатация на </w:t>
      </w:r>
      <w:r>
        <w:rPr>
          <w:bCs/>
          <w:noProof/>
          <w:szCs w:val="24"/>
        </w:rPr>
        <w:t>оборудването</w:t>
      </w:r>
      <w:r w:rsidRPr="007D7E40">
        <w:rPr>
          <w:bCs/>
          <w:noProof/>
          <w:szCs w:val="24"/>
        </w:rPr>
        <w:t xml:space="preserve"> на територията на Възложителя и след издаване на фактура от страна на Изпълнителя.</w:t>
      </w:r>
    </w:p>
    <w:p w14:paraId="6B99BD32" w14:textId="77777777" w:rsidR="005C5808" w:rsidRDefault="005C5808" w:rsidP="00060621">
      <w:pPr>
        <w:rPr>
          <w:rFonts w:ascii="TimesNewRomanPS-BoldMT" w:hAnsi="TimesNewRomanPS-BoldMT" w:cs="TimesNewRomanPS-BoldMT"/>
          <w:bCs/>
          <w:noProof/>
          <w:szCs w:val="24"/>
          <w:lang w:eastAsia="en-GB"/>
        </w:rPr>
      </w:pPr>
    </w:p>
    <w:p w14:paraId="768E4BCC" w14:textId="77777777" w:rsidR="005C5808" w:rsidRDefault="005C5808" w:rsidP="00060621">
      <w:pPr>
        <w:rPr>
          <w:rFonts w:ascii="TimesNewRomanPS-BoldMT" w:hAnsi="TimesNewRomanPS-BoldMT" w:cs="TimesNewRomanPS-BoldMT"/>
          <w:bCs/>
          <w:noProof/>
          <w:szCs w:val="24"/>
          <w:lang w:eastAsia="en-GB"/>
        </w:rPr>
      </w:pPr>
    </w:p>
    <w:p w14:paraId="06720143" w14:textId="77777777" w:rsidR="005C5808" w:rsidRDefault="005C5808" w:rsidP="00060621">
      <w:pPr>
        <w:rPr>
          <w:rFonts w:ascii="TimesNewRomanPS-BoldMT" w:hAnsi="TimesNewRomanPS-BoldMT" w:cs="TimesNewRomanPS-BoldMT"/>
          <w:bCs/>
          <w:noProof/>
          <w:szCs w:val="24"/>
          <w:lang w:eastAsia="en-GB"/>
        </w:rPr>
      </w:pPr>
    </w:p>
    <w:p w14:paraId="0C6B9291" w14:textId="7735AB1D" w:rsidR="00060621" w:rsidRDefault="00A56FFF" w:rsidP="00060621">
      <w:pPr>
        <w:rPr>
          <w:rFonts w:ascii="TimesNewRomanPS-BoldMT" w:hAnsi="TimesNewRomanPS-BoldMT" w:cs="TimesNewRomanPS-BoldMT"/>
          <w:bCs/>
          <w:noProof/>
          <w:szCs w:val="24"/>
          <w:lang w:eastAsia="en-GB"/>
        </w:rPr>
      </w:pPr>
      <w:r w:rsidRPr="00A56FFF">
        <w:rPr>
          <w:rFonts w:ascii="TimesNewRomanPS-BoldMT" w:hAnsi="TimesNewRomanPS-BoldMT" w:cs="TimesNewRomanPS-BoldMT"/>
          <w:bCs/>
          <w:noProof/>
          <w:szCs w:val="24"/>
          <w:lang w:eastAsia="en-GB"/>
        </w:rPr>
        <w:t>Всички плащания ще се извършват с</w:t>
      </w:r>
      <w:r w:rsidR="005C5808">
        <w:rPr>
          <w:rFonts w:ascii="TimesNewRomanPS-BoldMT" w:hAnsi="TimesNewRomanPS-BoldMT" w:cs="TimesNewRomanPS-BoldMT"/>
          <w:bCs/>
          <w:noProof/>
          <w:szCs w:val="24"/>
          <w:lang w:eastAsia="en-GB"/>
        </w:rPr>
        <w:t xml:space="preserve"> </w:t>
      </w:r>
      <w:r w:rsidRPr="00A56FFF">
        <w:rPr>
          <w:rFonts w:ascii="TimesNewRomanPS-BoldMT" w:hAnsi="TimesNewRomanPS-BoldMT" w:cs="TimesNewRomanPS-BoldMT"/>
          <w:bCs/>
          <w:noProof/>
          <w:szCs w:val="24"/>
          <w:lang w:eastAsia="en-GB"/>
        </w:rPr>
        <w:t>представяне на фактура, в която да бъде упоменат текста „Разход в изпълнение на проект № BG16RFPR001-1.003-0216“</w:t>
      </w:r>
    </w:p>
    <w:bookmarkEnd w:id="3"/>
    <w:p w14:paraId="42260D53" w14:textId="77777777" w:rsidR="00A56FFF" w:rsidRPr="00060621" w:rsidRDefault="00A56FFF" w:rsidP="00060621">
      <w:pPr>
        <w:rPr>
          <w:rFonts w:ascii="Times New Roman" w:hAnsi="Times New Roman"/>
          <w:b/>
          <w:sz w:val="22"/>
        </w:rPr>
      </w:pPr>
    </w:p>
    <w:p w14:paraId="15E27D53" w14:textId="776C52ED" w:rsidR="00060621" w:rsidRPr="00060621" w:rsidRDefault="00C3370D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</w:t>
      </w:r>
      <w:r>
        <w:rPr>
          <w:rFonts w:ascii="Times New Roman" w:hAnsi="Times New Roman"/>
        </w:rPr>
        <w:t xml:space="preserve">а </w:t>
      </w:r>
      <w:r w:rsidRPr="00060621">
        <w:rPr>
          <w:rFonts w:ascii="Times New Roman" w:hAnsi="Times New Roman"/>
        </w:rPr>
        <w:t>цена на офертата. В случай че бъде открито такова несъответствие, ще бъдем задължени да приведем общата  цена в съответствие с единичната  цена на офертата</w:t>
      </w:r>
      <w:r w:rsidR="00060621" w:rsidRPr="00060621">
        <w:rPr>
          <w:rFonts w:ascii="Times New Roman" w:hAnsi="Times New Roman"/>
        </w:rPr>
        <w:t>.</w:t>
      </w:r>
    </w:p>
    <w:p w14:paraId="2CEE98EB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586D38F3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264A2400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0553DDA9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7D6B3EB5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1651AD4D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56722D13" w14:textId="3C83CB5C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75382464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05D8FF2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70C1212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3C21D8E4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798A8940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52C06811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652A4BF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3B870D14" w14:textId="77777777" w:rsidR="00060621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77BF532D" w14:textId="77777777" w:rsidR="00C3370D" w:rsidRDefault="00C3370D" w:rsidP="00060621">
      <w:pPr>
        <w:rPr>
          <w:rFonts w:ascii="Times New Roman" w:hAnsi="Times New Roman"/>
          <w:szCs w:val="24"/>
          <w:lang w:val="ru-RU"/>
        </w:rPr>
      </w:pPr>
    </w:p>
    <w:p w14:paraId="0F5AC27E" w14:textId="77777777" w:rsidR="00C3370D" w:rsidRDefault="00C3370D" w:rsidP="00060621">
      <w:pPr>
        <w:rPr>
          <w:rFonts w:ascii="Times New Roman" w:hAnsi="Times New Roman"/>
          <w:szCs w:val="24"/>
          <w:lang w:val="ru-RU"/>
        </w:rPr>
      </w:pPr>
    </w:p>
    <w:p w14:paraId="76297064" w14:textId="77777777" w:rsidR="00C3370D" w:rsidRDefault="00C3370D" w:rsidP="00060621">
      <w:pPr>
        <w:rPr>
          <w:rFonts w:ascii="Times New Roman" w:hAnsi="Times New Roman"/>
          <w:szCs w:val="24"/>
          <w:lang w:val="ru-RU"/>
        </w:rPr>
      </w:pPr>
    </w:p>
    <w:p w14:paraId="0A542A80" w14:textId="77777777" w:rsidR="00C3370D" w:rsidRDefault="00C3370D" w:rsidP="00060621">
      <w:pPr>
        <w:rPr>
          <w:rFonts w:ascii="Times New Roman" w:hAnsi="Times New Roman"/>
          <w:szCs w:val="24"/>
          <w:lang w:val="ru-RU"/>
        </w:rPr>
      </w:pPr>
    </w:p>
    <w:p w14:paraId="486ADEA3" w14:textId="77777777" w:rsidR="00C3370D" w:rsidRPr="00EC4B3A" w:rsidRDefault="00C3370D" w:rsidP="00060621">
      <w:pPr>
        <w:rPr>
          <w:rFonts w:ascii="Times New Roman" w:hAnsi="Times New Roman"/>
          <w:szCs w:val="24"/>
        </w:rPr>
      </w:pPr>
    </w:p>
    <w:p w14:paraId="6605CBD5" w14:textId="77777777" w:rsidR="00C3370D" w:rsidRPr="00C607C9" w:rsidRDefault="00C3370D" w:rsidP="00060621">
      <w:pPr>
        <w:rPr>
          <w:rFonts w:ascii="Times New Roman" w:hAnsi="Times New Roman"/>
          <w:szCs w:val="24"/>
          <w:lang w:val="ru-RU"/>
        </w:rPr>
      </w:pPr>
    </w:p>
    <w:p w14:paraId="470D7C00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6B5AEDA1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1A5B2D54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36E6C276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DBF05A1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3447C662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49940" w14:textId="77777777" w:rsidR="004C278B" w:rsidRDefault="004C278B">
      <w:r>
        <w:separator/>
      </w:r>
    </w:p>
  </w:endnote>
  <w:endnote w:type="continuationSeparator" w:id="0">
    <w:p w14:paraId="770145BE" w14:textId="77777777" w:rsidR="004C278B" w:rsidRDefault="004C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32C32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132792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9F57F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49683503" w14:textId="77777777" w:rsidR="00A56FFF" w:rsidRPr="00272EBF" w:rsidRDefault="00015AA4" w:rsidP="00A56FFF">
    <w:pPr>
      <w:pStyle w:val="Footer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i/>
        <w:sz w:val="20"/>
      </w:rPr>
      <w:tab/>
    </w:r>
    <w:r w:rsidR="00A56FFF" w:rsidRPr="00BB1A0C">
      <w:rPr>
        <w:rFonts w:ascii="Times New Roman" w:hAnsi="Times New Roman"/>
        <w:sz w:val="18"/>
        <w:szCs w:val="18"/>
      </w:rPr>
      <w:t>“</w:t>
    </w:r>
    <w:r w:rsidR="00A56FFF" w:rsidRPr="00BB1A0C">
      <w:rPr>
        <w:rFonts w:ascii="Times New Roman" w:hAnsi="Times New Roman"/>
        <w:i/>
        <w:iCs/>
        <w:sz w:val="18"/>
        <w:szCs w:val="18"/>
      </w:rPr>
      <w:t xml:space="preserve">Този документ е създаден с финансовата подкрепа </w:t>
    </w:r>
    <w:r w:rsidR="00A56FFF">
      <w:rPr>
        <w:rFonts w:ascii="Times New Roman" w:hAnsi="Times New Roman"/>
        <w:i/>
        <w:iCs/>
        <w:sz w:val="18"/>
        <w:szCs w:val="18"/>
      </w:rPr>
      <w:t xml:space="preserve">на </w:t>
    </w:r>
    <w:r w:rsidR="00A56FFF" w:rsidRPr="00272EBF">
      <w:rPr>
        <w:rFonts w:ascii="Times New Roman" w:hAnsi="Times New Roman"/>
        <w:i/>
        <w:iCs/>
        <w:sz w:val="18"/>
        <w:szCs w:val="18"/>
      </w:rPr>
      <w:t>Програма "Конкурентоспособност и иновации в предприятията" 2021-2027</w:t>
    </w:r>
    <w:r w:rsidR="00A56FFF" w:rsidRPr="00BB1A0C">
      <w:rPr>
        <w:rFonts w:ascii="Times New Roman" w:hAnsi="Times New Roman"/>
        <w:i/>
        <w:iCs/>
        <w:sz w:val="18"/>
        <w:szCs w:val="18"/>
      </w:rPr>
      <w:t>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="00A56FFF" w:rsidRPr="00BB1A0C">
      <w:rPr>
        <w:rFonts w:ascii="Times New Roman" w:hAnsi="Times New Roman"/>
        <w:i/>
        <w:sz w:val="18"/>
        <w:szCs w:val="18"/>
      </w:rPr>
      <w:t xml:space="preserve"> </w:t>
    </w:r>
    <w:r w:rsidR="00A56FFF">
      <w:rPr>
        <w:rFonts w:ascii="Times New Roman" w:hAnsi="Times New Roman"/>
        <w:i/>
        <w:sz w:val="18"/>
        <w:szCs w:val="18"/>
      </w:rPr>
      <w:t>КАМКО Е</w:t>
    </w:r>
    <w:r w:rsidR="00A56FFF" w:rsidRPr="009D3802">
      <w:rPr>
        <w:rFonts w:ascii="Times New Roman" w:hAnsi="Times New Roman"/>
        <w:i/>
        <w:sz w:val="18"/>
        <w:szCs w:val="18"/>
      </w:rPr>
      <w:t>ООД</w:t>
    </w:r>
    <w:r w:rsidR="00A56FFF" w:rsidRPr="00BB1A0C">
      <w:rPr>
        <w:rFonts w:ascii="Times New Roman" w:hAnsi="Times New Roman"/>
        <w:i/>
        <w:sz w:val="18"/>
        <w:szCs w:val="18"/>
      </w:rPr>
      <w:t xml:space="preserve"> </w:t>
    </w:r>
    <w:r w:rsidR="00A56FFF" w:rsidRPr="00BB1A0C">
      <w:rPr>
        <w:rFonts w:ascii="Times New Roman" w:hAnsi="Times New Roman"/>
        <w:i/>
        <w:iCs/>
        <w:sz w:val="18"/>
        <w:szCs w:val="18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="00A56FFF" w:rsidRPr="00BB1A0C">
      <w:rPr>
        <w:rFonts w:ascii="Times New Roman" w:hAnsi="Times New Roman"/>
        <w:sz w:val="18"/>
        <w:szCs w:val="18"/>
      </w:rPr>
      <w:t>.”</w:t>
    </w:r>
  </w:p>
  <w:p w14:paraId="483BDF61" w14:textId="3DC67F2B" w:rsidR="00015AA4" w:rsidRDefault="00015AA4" w:rsidP="00A56FFF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6B8CC" w14:textId="77777777" w:rsidR="000526F4" w:rsidRPr="00272EBF" w:rsidRDefault="000526F4" w:rsidP="000526F4">
    <w:pPr>
      <w:pStyle w:val="Footer"/>
      <w:jc w:val="center"/>
      <w:rPr>
        <w:rFonts w:ascii="Times New Roman" w:hAnsi="Times New Roman"/>
        <w:sz w:val="18"/>
        <w:szCs w:val="18"/>
      </w:rPr>
    </w:pPr>
    <w:bookmarkStart w:id="4" w:name="_Hlk190783943"/>
    <w:bookmarkStart w:id="5" w:name="_Hlk194921410"/>
    <w:bookmarkStart w:id="6" w:name="_Hlk190781051"/>
    <w:r w:rsidRPr="00BB1A0C">
      <w:rPr>
        <w:rFonts w:ascii="Times New Roman" w:hAnsi="Times New Roman"/>
        <w:sz w:val="18"/>
        <w:szCs w:val="18"/>
      </w:rPr>
      <w:t>“</w:t>
    </w:r>
    <w:r w:rsidRPr="00BB1A0C">
      <w:rPr>
        <w:rFonts w:ascii="Times New Roman" w:hAnsi="Times New Roman"/>
        <w:i/>
        <w:iCs/>
        <w:sz w:val="18"/>
        <w:szCs w:val="18"/>
      </w:rPr>
      <w:t xml:space="preserve">Този документ е създаден с финансовата подкрепа </w:t>
    </w:r>
    <w:r>
      <w:rPr>
        <w:rFonts w:ascii="Times New Roman" w:hAnsi="Times New Roman"/>
        <w:i/>
        <w:iCs/>
        <w:sz w:val="18"/>
        <w:szCs w:val="18"/>
      </w:rPr>
      <w:t xml:space="preserve">на </w:t>
    </w:r>
    <w:r w:rsidRPr="00272EBF">
      <w:rPr>
        <w:rFonts w:ascii="Times New Roman" w:hAnsi="Times New Roman"/>
        <w:i/>
        <w:iCs/>
        <w:sz w:val="18"/>
        <w:szCs w:val="18"/>
      </w:rPr>
      <w:t>Програма "Конкурентоспособност и иновации в предприятията" 2021-2027</w:t>
    </w:r>
    <w:r w:rsidRPr="00BB1A0C">
      <w:rPr>
        <w:rFonts w:ascii="Times New Roman" w:hAnsi="Times New Roman"/>
        <w:i/>
        <w:iCs/>
        <w:sz w:val="18"/>
        <w:szCs w:val="18"/>
      </w:rPr>
      <w:t>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BB1A0C">
      <w:rPr>
        <w:rFonts w:ascii="Times New Roman" w:hAnsi="Times New Roman"/>
        <w:i/>
        <w:sz w:val="18"/>
        <w:szCs w:val="18"/>
      </w:rPr>
      <w:t xml:space="preserve"> </w:t>
    </w:r>
    <w:r>
      <w:rPr>
        <w:rFonts w:ascii="Times New Roman" w:hAnsi="Times New Roman"/>
        <w:i/>
        <w:sz w:val="18"/>
        <w:szCs w:val="18"/>
      </w:rPr>
      <w:t>КАМКО Е</w:t>
    </w:r>
    <w:r w:rsidRPr="009D3802">
      <w:rPr>
        <w:rFonts w:ascii="Times New Roman" w:hAnsi="Times New Roman"/>
        <w:i/>
        <w:sz w:val="18"/>
        <w:szCs w:val="18"/>
      </w:rPr>
      <w:t>ООД</w:t>
    </w:r>
    <w:r w:rsidRPr="00BB1A0C">
      <w:rPr>
        <w:rFonts w:ascii="Times New Roman" w:hAnsi="Times New Roman"/>
        <w:i/>
        <w:sz w:val="18"/>
        <w:szCs w:val="18"/>
      </w:rPr>
      <w:t xml:space="preserve"> </w:t>
    </w:r>
    <w:r w:rsidRPr="00BB1A0C">
      <w:rPr>
        <w:rFonts w:ascii="Times New Roman" w:hAnsi="Times New Roman"/>
        <w:i/>
        <w:iCs/>
        <w:sz w:val="18"/>
        <w:szCs w:val="18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BB1A0C">
      <w:rPr>
        <w:rFonts w:ascii="Times New Roman" w:hAnsi="Times New Roman"/>
        <w:sz w:val="18"/>
        <w:szCs w:val="18"/>
      </w:rPr>
      <w:t>.”</w:t>
    </w:r>
    <w:bookmarkEnd w:id="4"/>
  </w:p>
  <w:bookmarkEnd w:id="5"/>
  <w:p w14:paraId="454C1A5D" w14:textId="77777777" w:rsidR="000526F4" w:rsidRDefault="000526F4" w:rsidP="000526F4">
    <w:pPr>
      <w:pStyle w:val="Footer"/>
    </w:pPr>
  </w:p>
  <w:bookmarkEnd w:id="6"/>
  <w:p w14:paraId="21ECBA19" w14:textId="77777777" w:rsidR="008505E0" w:rsidRDefault="008505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4E90B" w14:textId="77777777" w:rsidR="004C278B" w:rsidRDefault="004C278B">
      <w:r>
        <w:separator/>
      </w:r>
    </w:p>
  </w:footnote>
  <w:footnote w:type="continuationSeparator" w:id="0">
    <w:p w14:paraId="70C893EB" w14:textId="77777777" w:rsidR="004C278B" w:rsidRDefault="004C278B">
      <w:r>
        <w:continuationSeparator/>
      </w:r>
    </w:p>
  </w:footnote>
  <w:footnote w:id="1">
    <w:p w14:paraId="396D4FD7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64DD0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41BB3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3D1BC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7DA1FEAC" w14:textId="77777777" w:rsidR="00015AA4" w:rsidRDefault="00015AA4">
    <w:pPr>
      <w:pStyle w:val="Header"/>
      <w:rPr>
        <w:lang w:val="en-US"/>
      </w:rPr>
    </w:pPr>
  </w:p>
  <w:p w14:paraId="4AB4038C" w14:textId="77777777" w:rsidR="00015AA4" w:rsidRDefault="00015AA4">
    <w:pPr>
      <w:pStyle w:val="Header"/>
      <w:rPr>
        <w:lang w:val="en-US"/>
      </w:rPr>
    </w:pPr>
  </w:p>
  <w:p w14:paraId="76F8DD76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14:paraId="35F4859B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3FA2D117" w14:textId="77777777" w:rsidTr="008435B1">
            <w:tc>
              <w:tcPr>
                <w:tcW w:w="4531" w:type="dxa"/>
                <w:vAlign w:val="center"/>
                <w:hideMark/>
              </w:tcPr>
              <w:p w14:paraId="50BE7A69" w14:textId="77777777" w:rsidR="008435B1" w:rsidRPr="008435B1" w:rsidRDefault="00B61630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 w14:anchorId="28145BDF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6pt;height:36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366AF0C0" w14:textId="77777777" w:rsidR="008435B1" w:rsidRDefault="00B61630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30153A60">
                    <v:shape id="Picture 60" o:spid="_x0000_i1026" type="#_x0000_t75" style="width:180pt;height:48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643C22F0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72154B3E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00B65D5C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1BF9"/>
    <w:multiLevelType w:val="hybridMultilevel"/>
    <w:tmpl w:val="A126C71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>
      <w:start w:val="1"/>
      <w:numFmt w:val="decimal"/>
      <w:lvlText w:val="%4."/>
      <w:lvlJc w:val="left"/>
      <w:pPr>
        <w:ind w:left="2520" w:hanging="360"/>
      </w:pPr>
    </w:lvl>
    <w:lvl w:ilvl="4" w:tplc="04020019">
      <w:start w:val="1"/>
      <w:numFmt w:val="lowerLetter"/>
      <w:lvlText w:val="%5."/>
      <w:lvlJc w:val="left"/>
      <w:pPr>
        <w:ind w:left="3240" w:hanging="360"/>
      </w:pPr>
    </w:lvl>
    <w:lvl w:ilvl="5" w:tplc="0402001B">
      <w:start w:val="1"/>
      <w:numFmt w:val="lowerRoman"/>
      <w:lvlText w:val="%6."/>
      <w:lvlJc w:val="right"/>
      <w:pPr>
        <w:ind w:left="3960" w:hanging="180"/>
      </w:pPr>
    </w:lvl>
    <w:lvl w:ilvl="6" w:tplc="0402000F">
      <w:start w:val="1"/>
      <w:numFmt w:val="decimal"/>
      <w:lvlText w:val="%7."/>
      <w:lvlJc w:val="left"/>
      <w:pPr>
        <w:ind w:left="4680" w:hanging="360"/>
      </w:pPr>
    </w:lvl>
    <w:lvl w:ilvl="7" w:tplc="04020019">
      <w:start w:val="1"/>
      <w:numFmt w:val="lowerLetter"/>
      <w:lvlText w:val="%8."/>
      <w:lvlJc w:val="left"/>
      <w:pPr>
        <w:ind w:left="5400" w:hanging="360"/>
      </w:pPr>
    </w:lvl>
    <w:lvl w:ilvl="8" w:tplc="040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845AD7"/>
    <w:multiLevelType w:val="hybridMultilevel"/>
    <w:tmpl w:val="4F48CD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C4CE2"/>
    <w:multiLevelType w:val="hybridMultilevel"/>
    <w:tmpl w:val="86981EE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C5210"/>
    <w:multiLevelType w:val="hybridMultilevel"/>
    <w:tmpl w:val="081EA2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14CD1"/>
    <w:multiLevelType w:val="hybridMultilevel"/>
    <w:tmpl w:val="768077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063B7"/>
    <w:multiLevelType w:val="hybridMultilevel"/>
    <w:tmpl w:val="7988CEF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2022D"/>
    <w:multiLevelType w:val="hybridMultilevel"/>
    <w:tmpl w:val="2E5E4CC8"/>
    <w:lvl w:ilvl="0" w:tplc="B87AB9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971FF"/>
    <w:multiLevelType w:val="hybridMultilevel"/>
    <w:tmpl w:val="2E9A1E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9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9A106C"/>
    <w:multiLevelType w:val="hybridMultilevel"/>
    <w:tmpl w:val="509243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2" w15:restartNumberingAfterBreak="0">
    <w:nsid w:val="69331007"/>
    <w:multiLevelType w:val="hybridMultilevel"/>
    <w:tmpl w:val="1EA87CD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172576">
    <w:abstractNumId w:val="11"/>
  </w:num>
  <w:num w:numId="2" w16cid:durableId="379213764">
    <w:abstractNumId w:val="8"/>
  </w:num>
  <w:num w:numId="3" w16cid:durableId="1799639643">
    <w:abstractNumId w:val="9"/>
  </w:num>
  <w:num w:numId="4" w16cid:durableId="1121922650">
    <w:abstractNumId w:val="10"/>
  </w:num>
  <w:num w:numId="5" w16cid:durableId="1267497733">
    <w:abstractNumId w:val="4"/>
  </w:num>
  <w:num w:numId="6" w16cid:durableId="811600051">
    <w:abstractNumId w:val="6"/>
  </w:num>
  <w:num w:numId="7" w16cid:durableId="1826160766">
    <w:abstractNumId w:val="2"/>
  </w:num>
  <w:num w:numId="8" w16cid:durableId="1808475464">
    <w:abstractNumId w:val="12"/>
  </w:num>
  <w:num w:numId="9" w16cid:durableId="1194997340">
    <w:abstractNumId w:val="7"/>
  </w:num>
  <w:num w:numId="10" w16cid:durableId="1122962849">
    <w:abstractNumId w:val="1"/>
  </w:num>
  <w:num w:numId="11" w16cid:durableId="1909151172">
    <w:abstractNumId w:val="5"/>
  </w:num>
  <w:num w:numId="12" w16cid:durableId="4336698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371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253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273C2"/>
    <w:rsid w:val="00012C31"/>
    <w:rsid w:val="00015AA4"/>
    <w:rsid w:val="00015FC2"/>
    <w:rsid w:val="000436EA"/>
    <w:rsid w:val="00050E6F"/>
    <w:rsid w:val="000526F4"/>
    <w:rsid w:val="00052CC3"/>
    <w:rsid w:val="00060621"/>
    <w:rsid w:val="000655E4"/>
    <w:rsid w:val="00071B10"/>
    <w:rsid w:val="00076518"/>
    <w:rsid w:val="00082303"/>
    <w:rsid w:val="000826BF"/>
    <w:rsid w:val="000E3B0B"/>
    <w:rsid w:val="00121910"/>
    <w:rsid w:val="0012201B"/>
    <w:rsid w:val="001337AA"/>
    <w:rsid w:val="00137B35"/>
    <w:rsid w:val="00146AB5"/>
    <w:rsid w:val="0014781B"/>
    <w:rsid w:val="0016079E"/>
    <w:rsid w:val="00182032"/>
    <w:rsid w:val="00192482"/>
    <w:rsid w:val="001E1995"/>
    <w:rsid w:val="001E2B97"/>
    <w:rsid w:val="00217394"/>
    <w:rsid w:val="0027017A"/>
    <w:rsid w:val="00281DA3"/>
    <w:rsid w:val="00284018"/>
    <w:rsid w:val="00291D79"/>
    <w:rsid w:val="0029441C"/>
    <w:rsid w:val="002A79DF"/>
    <w:rsid w:val="002C0E34"/>
    <w:rsid w:val="00313AD4"/>
    <w:rsid w:val="00322694"/>
    <w:rsid w:val="0034421F"/>
    <w:rsid w:val="003A1778"/>
    <w:rsid w:val="003A5D39"/>
    <w:rsid w:val="003C2F94"/>
    <w:rsid w:val="003F0AD6"/>
    <w:rsid w:val="003F4A0F"/>
    <w:rsid w:val="003F73F7"/>
    <w:rsid w:val="00400207"/>
    <w:rsid w:val="00407E23"/>
    <w:rsid w:val="004248A3"/>
    <w:rsid w:val="00425852"/>
    <w:rsid w:val="004312FC"/>
    <w:rsid w:val="0043488C"/>
    <w:rsid w:val="0046265B"/>
    <w:rsid w:val="00493CF0"/>
    <w:rsid w:val="0049571C"/>
    <w:rsid w:val="004C278B"/>
    <w:rsid w:val="00507290"/>
    <w:rsid w:val="00512593"/>
    <w:rsid w:val="00523183"/>
    <w:rsid w:val="005258B3"/>
    <w:rsid w:val="005303AC"/>
    <w:rsid w:val="0054314E"/>
    <w:rsid w:val="005524B1"/>
    <w:rsid w:val="00561799"/>
    <w:rsid w:val="00584989"/>
    <w:rsid w:val="00587B2B"/>
    <w:rsid w:val="0059400D"/>
    <w:rsid w:val="005C5808"/>
    <w:rsid w:val="005E1A21"/>
    <w:rsid w:val="005F0AF8"/>
    <w:rsid w:val="005F3454"/>
    <w:rsid w:val="00611830"/>
    <w:rsid w:val="006212F9"/>
    <w:rsid w:val="00634BC0"/>
    <w:rsid w:val="006A25DA"/>
    <w:rsid w:val="006B5633"/>
    <w:rsid w:val="006D1001"/>
    <w:rsid w:val="006F48D4"/>
    <w:rsid w:val="00717EAF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90774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505E0"/>
    <w:rsid w:val="00860ED0"/>
    <w:rsid w:val="008B67EF"/>
    <w:rsid w:val="008D152E"/>
    <w:rsid w:val="00922716"/>
    <w:rsid w:val="009302A2"/>
    <w:rsid w:val="00953E4C"/>
    <w:rsid w:val="00961002"/>
    <w:rsid w:val="00976CE7"/>
    <w:rsid w:val="00984119"/>
    <w:rsid w:val="0098424F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56FFF"/>
    <w:rsid w:val="00A63654"/>
    <w:rsid w:val="00A76301"/>
    <w:rsid w:val="00A83922"/>
    <w:rsid w:val="00A90C52"/>
    <w:rsid w:val="00AC3243"/>
    <w:rsid w:val="00AC4C88"/>
    <w:rsid w:val="00AF3555"/>
    <w:rsid w:val="00AF37C7"/>
    <w:rsid w:val="00AF658B"/>
    <w:rsid w:val="00B273C2"/>
    <w:rsid w:val="00B541F5"/>
    <w:rsid w:val="00B61630"/>
    <w:rsid w:val="00BB0FE3"/>
    <w:rsid w:val="00BD1E1F"/>
    <w:rsid w:val="00BD3D26"/>
    <w:rsid w:val="00C157B2"/>
    <w:rsid w:val="00C3370D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A7DC5"/>
    <w:rsid w:val="00CF45B3"/>
    <w:rsid w:val="00D13188"/>
    <w:rsid w:val="00D26E8B"/>
    <w:rsid w:val="00D321B2"/>
    <w:rsid w:val="00D3317C"/>
    <w:rsid w:val="00D33ADA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5501F"/>
    <w:rsid w:val="00E821F7"/>
    <w:rsid w:val="00E92CE1"/>
    <w:rsid w:val="00E9683D"/>
    <w:rsid w:val="00EA763F"/>
    <w:rsid w:val="00EC4B3A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453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1"/>
    <o:shapelayout v:ext="edit">
      <o:idmap v:ext="edit" data="1"/>
    </o:shapelayout>
  </w:shapeDefaults>
  <w:decimalSymbol w:val="."/>
  <w:listSeparator w:val=";"/>
  <w14:docId w14:val="011C7038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4018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FooterChar">
    <w:name w:val="Footer Char"/>
    <w:link w:val="Footer"/>
    <w:rsid w:val="008505E0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8505E0"/>
    <w:pPr>
      <w:ind w:left="720"/>
      <w:contextualSpacing/>
      <w:jc w:val="both"/>
    </w:pPr>
    <w:rPr>
      <w:rFonts w:ascii="Times New Roman" w:hAnsi="Times New Roman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8505E0"/>
    <w:rPr>
      <w:sz w:val="24"/>
      <w:lang w:val="en-GB" w:eastAsia="en-US"/>
    </w:rPr>
  </w:style>
  <w:style w:type="character" w:customStyle="1" w:styleId="Heading1Char">
    <w:name w:val="Heading 1 Char"/>
    <w:basedOn w:val="DefaultParagraphFont"/>
    <w:link w:val="Heading1"/>
    <w:rsid w:val="00284018"/>
    <w:rPr>
      <w:rFonts w:ascii="Cambria" w:hAnsi="Cambria"/>
      <w:color w:val="365F91"/>
      <w:sz w:val="32"/>
      <w:szCs w:val="32"/>
      <w:lang w:eastAsia="en-US"/>
    </w:rPr>
  </w:style>
  <w:style w:type="character" w:customStyle="1" w:styleId="titleemph1">
    <w:name w:val="title_emph1"/>
    <w:rsid w:val="00D321B2"/>
    <w:rPr>
      <w:rFonts w:ascii="Arial" w:hAnsi="Arial" w:cs="Arial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Mihaela Angelova</cp:lastModifiedBy>
  <cp:revision>14</cp:revision>
  <cp:lastPrinted>2011-03-22T15:11:00Z</cp:lastPrinted>
  <dcterms:created xsi:type="dcterms:W3CDTF">2024-05-21T13:05:00Z</dcterms:created>
  <dcterms:modified xsi:type="dcterms:W3CDTF">2025-05-08T11:01:00Z</dcterms:modified>
</cp:coreProperties>
</file>